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6032F8" w:rsidRDefault="00465254" w:rsidP="006032F8">
      <w:pPr>
        <w:spacing w:line="480" w:lineRule="auto"/>
        <w:rPr>
          <w:rFonts w:ascii="Times New Roman" w:hAnsi="Times New Roman" w:cs="Times New Roman"/>
          <w:sz w:val="24"/>
          <w:szCs w:val="24"/>
        </w:rPr>
      </w:pPr>
    </w:p>
    <w:p w:rsidR="00001D17" w:rsidRPr="006032F8" w:rsidRDefault="00001D17" w:rsidP="006032F8">
      <w:pPr>
        <w:spacing w:line="480" w:lineRule="auto"/>
        <w:rPr>
          <w:rFonts w:ascii="Times New Roman" w:hAnsi="Times New Roman" w:cs="Times New Roman"/>
          <w:sz w:val="24"/>
          <w:szCs w:val="24"/>
        </w:rPr>
      </w:pPr>
    </w:p>
    <w:p w:rsidR="004A5BD5" w:rsidRPr="006032F8" w:rsidRDefault="004A5BD5" w:rsidP="006032F8">
      <w:pPr>
        <w:spacing w:after="0" w:line="480" w:lineRule="auto"/>
        <w:rPr>
          <w:rFonts w:ascii="Times New Roman" w:eastAsia="Times New Roman" w:hAnsi="Times New Roman" w:cs="Times New Roman"/>
          <w:sz w:val="24"/>
          <w:szCs w:val="24"/>
        </w:rPr>
      </w:pPr>
    </w:p>
    <w:p w:rsidR="004A5BD5" w:rsidRPr="006032F8" w:rsidRDefault="004A5BD5" w:rsidP="006032F8">
      <w:pPr>
        <w:spacing w:line="480" w:lineRule="auto"/>
        <w:rPr>
          <w:rFonts w:ascii="Times New Roman" w:hAnsi="Times New Roman" w:cs="Times New Roman"/>
          <w:sz w:val="24"/>
          <w:szCs w:val="24"/>
        </w:rPr>
      </w:pPr>
    </w:p>
    <w:p w:rsidR="004A5BD5" w:rsidRPr="006032F8" w:rsidRDefault="004A5BD5" w:rsidP="006032F8">
      <w:pPr>
        <w:spacing w:line="480" w:lineRule="auto"/>
        <w:rPr>
          <w:rFonts w:ascii="Times New Roman" w:hAnsi="Times New Roman" w:cs="Times New Roman"/>
          <w:sz w:val="24"/>
          <w:szCs w:val="24"/>
        </w:rPr>
      </w:pPr>
    </w:p>
    <w:p w:rsidR="004A5BD5" w:rsidRPr="006032F8" w:rsidRDefault="004A5BD5" w:rsidP="006032F8">
      <w:pPr>
        <w:spacing w:line="480" w:lineRule="auto"/>
        <w:jc w:val="center"/>
        <w:rPr>
          <w:rFonts w:ascii="Times New Roman" w:hAnsi="Times New Roman" w:cs="Times New Roman"/>
          <w:sz w:val="24"/>
          <w:szCs w:val="24"/>
        </w:rPr>
      </w:pPr>
    </w:p>
    <w:p w:rsidR="004A5BD5" w:rsidRPr="006032F8" w:rsidRDefault="00574B1F" w:rsidP="006032F8">
      <w:pPr>
        <w:spacing w:after="0" w:line="480" w:lineRule="auto"/>
        <w:jc w:val="center"/>
        <w:rPr>
          <w:rFonts w:ascii="Times New Roman" w:eastAsia="Times New Roman" w:hAnsi="Times New Roman" w:cs="Times New Roman"/>
          <w:sz w:val="24"/>
          <w:szCs w:val="24"/>
        </w:rPr>
      </w:pPr>
      <w:r w:rsidRPr="006032F8">
        <w:rPr>
          <w:rFonts w:ascii="Times New Roman" w:hAnsi="Times New Roman" w:cs="Times New Roman"/>
          <w:sz w:val="24"/>
          <w:szCs w:val="24"/>
        </w:rPr>
        <w:t>Explain Operational Contract Support and Methods of Monitoring Quality Assurance</w:t>
      </w:r>
    </w:p>
    <w:p w:rsidR="0074251F" w:rsidRPr="006032F8" w:rsidRDefault="0074251F" w:rsidP="006032F8">
      <w:pPr>
        <w:spacing w:line="480" w:lineRule="auto"/>
        <w:jc w:val="center"/>
        <w:rPr>
          <w:rFonts w:ascii="Times New Roman" w:hAnsi="Times New Roman" w:cs="Times New Roman"/>
          <w:sz w:val="24"/>
          <w:szCs w:val="24"/>
        </w:rPr>
      </w:pPr>
      <w:r w:rsidRPr="006032F8">
        <w:rPr>
          <w:rFonts w:ascii="Times New Roman" w:hAnsi="Times New Roman" w:cs="Times New Roman"/>
          <w:sz w:val="24"/>
          <w:szCs w:val="24"/>
        </w:rPr>
        <w:t>(Students Name)</w:t>
      </w:r>
    </w:p>
    <w:p w:rsidR="0074251F" w:rsidRPr="006032F8" w:rsidRDefault="0074251F" w:rsidP="006032F8">
      <w:pPr>
        <w:spacing w:line="480" w:lineRule="auto"/>
        <w:jc w:val="center"/>
        <w:rPr>
          <w:rFonts w:ascii="Times New Roman" w:hAnsi="Times New Roman" w:cs="Times New Roman"/>
          <w:sz w:val="24"/>
          <w:szCs w:val="24"/>
        </w:rPr>
      </w:pPr>
      <w:r w:rsidRPr="006032F8">
        <w:rPr>
          <w:rFonts w:ascii="Times New Roman" w:hAnsi="Times New Roman" w:cs="Times New Roman"/>
          <w:sz w:val="24"/>
          <w:szCs w:val="24"/>
        </w:rPr>
        <w:t>(Institutional Affiliation)</w:t>
      </w:r>
    </w:p>
    <w:p w:rsidR="00001D17" w:rsidRPr="006032F8" w:rsidRDefault="00001D17" w:rsidP="006032F8">
      <w:pPr>
        <w:spacing w:line="480" w:lineRule="auto"/>
        <w:rPr>
          <w:rFonts w:ascii="Times New Roman" w:hAnsi="Times New Roman" w:cs="Times New Roman"/>
          <w:sz w:val="24"/>
          <w:szCs w:val="24"/>
        </w:rPr>
      </w:pPr>
    </w:p>
    <w:p w:rsidR="00755B66" w:rsidRPr="006032F8" w:rsidRDefault="00755B66" w:rsidP="006032F8">
      <w:pPr>
        <w:spacing w:line="480" w:lineRule="auto"/>
        <w:rPr>
          <w:rFonts w:ascii="Times New Roman" w:hAnsi="Times New Roman" w:cs="Times New Roman"/>
          <w:sz w:val="24"/>
          <w:szCs w:val="24"/>
        </w:rPr>
      </w:pPr>
    </w:p>
    <w:p w:rsidR="0074251F" w:rsidRPr="006032F8" w:rsidRDefault="0074251F" w:rsidP="006032F8">
      <w:pPr>
        <w:spacing w:line="480" w:lineRule="auto"/>
        <w:rPr>
          <w:rFonts w:ascii="Times New Roman" w:hAnsi="Times New Roman" w:cs="Times New Roman"/>
          <w:sz w:val="24"/>
          <w:szCs w:val="24"/>
        </w:rPr>
      </w:pPr>
    </w:p>
    <w:p w:rsidR="0074251F" w:rsidRPr="006032F8" w:rsidRDefault="0074251F" w:rsidP="006032F8">
      <w:pPr>
        <w:spacing w:line="480" w:lineRule="auto"/>
        <w:rPr>
          <w:rFonts w:ascii="Times New Roman" w:hAnsi="Times New Roman" w:cs="Times New Roman"/>
          <w:sz w:val="24"/>
          <w:szCs w:val="24"/>
        </w:rPr>
      </w:pPr>
    </w:p>
    <w:p w:rsidR="0074251F" w:rsidRPr="006032F8" w:rsidRDefault="0074251F" w:rsidP="006032F8">
      <w:pPr>
        <w:spacing w:line="480" w:lineRule="auto"/>
        <w:rPr>
          <w:rFonts w:ascii="Times New Roman" w:hAnsi="Times New Roman" w:cs="Times New Roman"/>
          <w:sz w:val="24"/>
          <w:szCs w:val="24"/>
        </w:rPr>
      </w:pPr>
    </w:p>
    <w:p w:rsidR="0074251F" w:rsidRPr="006032F8" w:rsidRDefault="0074251F" w:rsidP="006032F8">
      <w:pPr>
        <w:spacing w:line="480" w:lineRule="auto"/>
        <w:rPr>
          <w:rFonts w:ascii="Times New Roman" w:hAnsi="Times New Roman" w:cs="Times New Roman"/>
          <w:sz w:val="24"/>
          <w:szCs w:val="24"/>
        </w:rPr>
      </w:pPr>
    </w:p>
    <w:p w:rsidR="00755B66" w:rsidRPr="006032F8" w:rsidRDefault="00755B66" w:rsidP="006032F8">
      <w:pPr>
        <w:spacing w:line="480" w:lineRule="auto"/>
        <w:rPr>
          <w:rFonts w:ascii="Times New Roman" w:hAnsi="Times New Roman" w:cs="Times New Roman"/>
          <w:sz w:val="24"/>
          <w:szCs w:val="24"/>
        </w:rPr>
      </w:pPr>
    </w:p>
    <w:p w:rsidR="00755B66" w:rsidRPr="006032F8" w:rsidRDefault="00755B66" w:rsidP="006032F8">
      <w:pPr>
        <w:spacing w:line="480" w:lineRule="auto"/>
        <w:rPr>
          <w:rFonts w:ascii="Times New Roman" w:hAnsi="Times New Roman" w:cs="Times New Roman"/>
          <w:sz w:val="24"/>
          <w:szCs w:val="24"/>
        </w:rPr>
      </w:pPr>
    </w:p>
    <w:p w:rsidR="00755B66" w:rsidRPr="006032F8" w:rsidRDefault="00755B66" w:rsidP="006032F8">
      <w:pPr>
        <w:spacing w:line="480" w:lineRule="auto"/>
        <w:rPr>
          <w:rFonts w:ascii="Times New Roman" w:hAnsi="Times New Roman" w:cs="Times New Roman"/>
          <w:sz w:val="24"/>
          <w:szCs w:val="24"/>
        </w:rPr>
      </w:pPr>
    </w:p>
    <w:p w:rsidR="0034428C" w:rsidRPr="006032F8" w:rsidRDefault="0034428C" w:rsidP="006032F8">
      <w:pPr>
        <w:spacing w:line="480" w:lineRule="auto"/>
        <w:rPr>
          <w:rFonts w:ascii="Times New Roman" w:hAnsi="Times New Roman" w:cs="Times New Roman"/>
          <w:sz w:val="24"/>
          <w:szCs w:val="24"/>
        </w:rPr>
      </w:pPr>
    </w:p>
    <w:p w:rsidR="00FD3442" w:rsidRPr="00FD3442" w:rsidRDefault="003632D3" w:rsidP="00FD3442">
      <w:pPr>
        <w:pStyle w:val="NormalWeb"/>
        <w:spacing w:after="0" w:line="480" w:lineRule="auto"/>
      </w:pPr>
      <w:r w:rsidRPr="006032F8">
        <w:rPr>
          <w:b/>
        </w:rPr>
        <w:lastRenderedPageBreak/>
        <w:tab/>
      </w:r>
      <w:r w:rsidR="00FD3442" w:rsidRPr="00FD3442">
        <w:t xml:space="preserve">The military is involved in a diverse number of activities and operations throughout the year. This provides possibilities of overlapping of some of the </w:t>
      </w:r>
      <w:proofErr w:type="gramStart"/>
      <w:r w:rsidR="00FD3442" w:rsidRPr="00FD3442">
        <w:t>militias</w:t>
      </w:r>
      <w:proofErr w:type="gramEnd"/>
      <w:r w:rsidR="00FD3442" w:rsidRPr="00FD3442">
        <w:t xml:space="preserve"> projects to be undertaken. In a quest to solve this, operational contract support (OCS) is adopted (Department of Defense, 2010). In its entirety, the idea behind the phenomenon is the ability of a joint force to be able to arrange for, contract and manage a selection of contracted personnel to deliver a specification of accomplishments to this particular joint force (Joint Chiefs of Staff, 2014). This method of recruiting extra workforce is aimed at reducing the work stress experienced by different joint forces in their quest to complete assignments. It involves the acquisition of assets, services and brain power from sources other than government owned joint forces to collective unit operations (Gould, 2012).</w:t>
      </w:r>
    </w:p>
    <w:p w:rsidR="00FD3442" w:rsidRPr="00FD3442" w:rsidRDefault="00FD3442" w:rsidP="00FD3442">
      <w:pPr>
        <w:pStyle w:val="NormalWeb"/>
        <w:spacing w:after="0" w:line="480" w:lineRule="auto"/>
      </w:pPr>
      <w:r w:rsidRPr="00FD3442">
        <w:t xml:space="preserve">    </w:t>
      </w:r>
      <w:r w:rsidR="00942BE0">
        <w:tab/>
      </w:r>
      <w:r w:rsidRPr="00FD3442">
        <w:t>Use of contracts to supplement the need for extra workforce has been integral in determining the levels of success of organizations in diverse lines of work. In the context of the component in the study, OCS has been utilized in the militia to carry out operations from different geographical locations (Department of Defense, 2010). In this particular application, OCS has been used to integrate the definitions and requirements of the project to be undertaken, support mechanism to the contracted parties and the aspect of contractor management, which incorporates the idea of managing the contracted personnel by providing critical support such as surveillance, key project information communication such as plans (Joint Chiefs of Staff, 2014), and maintaining visibility. It is important to identify possible occurrences of fraud, wastage of state resources and abuse of allocated power; this brings up the need to employ OCS in the operations being undertaken by contracted personnel. Through this, critical government information, data is protected from landing in the wrong hands.</w:t>
      </w:r>
    </w:p>
    <w:p w:rsidR="00FD3442" w:rsidRPr="00FD3442" w:rsidRDefault="00FD3442" w:rsidP="00FD3442">
      <w:pPr>
        <w:pStyle w:val="NormalWeb"/>
        <w:spacing w:after="0" w:line="480" w:lineRule="auto"/>
      </w:pPr>
      <w:r w:rsidRPr="00FD3442">
        <w:lastRenderedPageBreak/>
        <w:t xml:space="preserve">   </w:t>
      </w:r>
      <w:r w:rsidR="00942BE0">
        <w:tab/>
      </w:r>
      <w:r w:rsidRPr="00FD3442">
        <w:t xml:space="preserve"> Based on the argument that OCS is highly applied in military, then perfect evidence to this argument </w:t>
      </w:r>
      <w:r w:rsidR="00766B3B">
        <w:t>is</w:t>
      </w:r>
      <w:bookmarkStart w:id="0" w:name="_GoBack"/>
      <w:bookmarkEnd w:id="0"/>
      <w:r w:rsidRPr="00FD3442">
        <w:t xml:space="preserve"> the contracting activities carried out in the past ten years to support contingency operations based in Iraq and Afghanistan which were sanctioned out by the U.S government defense forces (Gould, 2012). To support this claim, it is noted that in the above mentioned period, within the areas of responsibility, the ratio of permanently deployed soldiers to that of their contracted counterparts rose to a significant 1:1 (Gould, 2012). The interpretation behind this observation was that, under the United States Central Command Areas of Responsibility, for every assigned military employee, there was a privately contracted counterpart. </w:t>
      </w:r>
    </w:p>
    <w:p w:rsidR="00FD3442" w:rsidRPr="00FD3442" w:rsidRDefault="00FD3442" w:rsidP="00FD3442">
      <w:pPr>
        <w:pStyle w:val="NormalWeb"/>
        <w:spacing w:after="0" w:line="480" w:lineRule="auto"/>
      </w:pPr>
      <w:r w:rsidRPr="00FD3442">
        <w:t xml:space="preserve">   </w:t>
      </w:r>
      <w:r w:rsidR="00942BE0">
        <w:tab/>
      </w:r>
      <w:r w:rsidRPr="00FD3442">
        <w:t xml:space="preserve"> Having seen the involvement of contracted personnel in military matters, given the high demand on quality of performance on military-related projects, the establishment of quality control and inspection mechanism is </w:t>
      </w:r>
      <w:proofErr w:type="gramStart"/>
      <w:r w:rsidRPr="00FD3442">
        <w:t>key</w:t>
      </w:r>
      <w:proofErr w:type="gramEnd"/>
      <w:r w:rsidRPr="00FD3442">
        <w:t xml:space="preserve"> to upholding the expected delivery from these contracts. A Quality Assurance Surveillance Plan is used to measure the extent of quality through which these particular projects have been accomplished with (Shields, 2014). In addition to this, the plan helps ensure that contractor efforts to control quality are employed effectively and are in turn delivering the expected results as described in the signed contract between the contractor and the Government (Defense Acquisition University, 2018). In this plan, the methods of </w:t>
      </w:r>
      <w:proofErr w:type="spellStart"/>
      <w:r w:rsidRPr="00FD3442">
        <w:t>surveilling</w:t>
      </w:r>
      <w:proofErr w:type="spellEnd"/>
      <w:r w:rsidRPr="00FD3442">
        <w:t xml:space="preserve"> the performance used are as follows but not limited to:</w:t>
      </w:r>
    </w:p>
    <w:p w:rsidR="00FD3442" w:rsidRPr="00942BE0" w:rsidRDefault="00FD3442" w:rsidP="00FD3442">
      <w:pPr>
        <w:pStyle w:val="NormalWeb"/>
        <w:spacing w:after="0" w:line="480" w:lineRule="auto"/>
        <w:rPr>
          <w:b/>
        </w:rPr>
      </w:pPr>
      <w:r w:rsidRPr="00942BE0">
        <w:rPr>
          <w:b/>
        </w:rPr>
        <w:t>Periodic inspections, Random Observations, Audits, and File reviews</w:t>
      </w:r>
    </w:p>
    <w:p w:rsidR="00FD3442" w:rsidRPr="00FD3442" w:rsidRDefault="00FD3442" w:rsidP="00FD3442">
      <w:pPr>
        <w:pStyle w:val="NormalWeb"/>
        <w:spacing w:after="0" w:line="480" w:lineRule="auto"/>
      </w:pPr>
      <w:r w:rsidRPr="00FD3442">
        <w:t xml:space="preserve">   </w:t>
      </w:r>
      <w:r>
        <w:tab/>
      </w:r>
      <w:r w:rsidRPr="00FD3442">
        <w:t xml:space="preserve"> File reviews are documents designed to capture the contractor's view on the current progress of an ongoing or a recently completed assignment (WIPP Transportation Services, 2017). In the review, the Government analyst also prepares file reviews for the people who have been in direct interaction with the contracted personnel. The feedback collected from these files is then compiled and used to deduce the quality of work being done by the </w:t>
      </w:r>
      <w:r w:rsidRPr="00FD3442">
        <w:lastRenderedPageBreak/>
        <w:t xml:space="preserve">contractor. To capture the most accurate data and consisted type of review for comparison purposes, file reviews are designed to allow minimal deviations of the answers to be provided. For instance, a client could be asked to rate the service received from the contractor on a given scale. </w:t>
      </w:r>
    </w:p>
    <w:p w:rsidR="00FD3442" w:rsidRPr="00FD3442" w:rsidRDefault="00FD3442" w:rsidP="00FD3442">
      <w:pPr>
        <w:pStyle w:val="NormalWeb"/>
        <w:spacing w:after="0" w:line="480" w:lineRule="auto"/>
      </w:pPr>
      <w:r w:rsidRPr="00FD3442">
        <w:t xml:space="preserve">   </w:t>
      </w:r>
      <w:r>
        <w:tab/>
      </w:r>
      <w:r w:rsidRPr="00FD3442">
        <w:t xml:space="preserve"> One of the earliest methods of quality surveillance is through periodic inspections. This particular method is employed in situations where the use of file reviews would instead prove to be tedious or uninformative. Regular checks are carried out during designated dates and times. During this time, the government analyst will collect data on critical documents such as financial statements and project reports. This data is then used to measure the quality of work delivered</w:t>
      </w:r>
      <w:r>
        <w:t xml:space="preserve"> during the project completion.</w:t>
      </w:r>
    </w:p>
    <w:p w:rsidR="00FD3442" w:rsidRPr="00FD3442" w:rsidRDefault="00FD3442" w:rsidP="00FD3442">
      <w:pPr>
        <w:pStyle w:val="NormalWeb"/>
        <w:spacing w:after="0" w:line="480" w:lineRule="auto"/>
      </w:pPr>
      <w:r w:rsidRPr="00FD3442">
        <w:t xml:space="preserve">    </w:t>
      </w:r>
      <w:r>
        <w:tab/>
      </w:r>
      <w:r w:rsidRPr="00FD3442">
        <w:t>Only in a few cases will data collected from periodic inspections prove to be fabricated to depict a certain level of quality. If the situation as mentioned above becomes the case, then the quality assurance analyst is obliged to use random observations to gather raw data (WIPP Transportation Services, 2017). This can be done by visiting the project site in undocumented times and collecting data in regards to the quality of work being done.</w:t>
      </w:r>
    </w:p>
    <w:p w:rsidR="00FD3442" w:rsidRPr="00FD3442" w:rsidRDefault="00FD3442" w:rsidP="00FD3442">
      <w:pPr>
        <w:pStyle w:val="NormalWeb"/>
        <w:spacing w:after="0" w:line="480" w:lineRule="auto"/>
      </w:pPr>
      <w:r w:rsidRPr="00FD3442">
        <w:t xml:space="preserve">    </w:t>
      </w:r>
      <w:r>
        <w:tab/>
      </w:r>
      <w:r w:rsidRPr="00FD3442">
        <w:t>Lastly, the use of customer-generated feedback is vital in determining the quality of services being provided (WIPP Transportation Services, 2017). In the context on military operations, the specific departments from which the contracted people undertake projects are treated as the final customers. The analyst will then obtain statements from department leaders on the current quality of service being delivered by the contractor.</w:t>
      </w:r>
    </w:p>
    <w:p w:rsidR="003E087E" w:rsidRPr="00FD3442" w:rsidRDefault="00FD3442" w:rsidP="00FD3442">
      <w:pPr>
        <w:pStyle w:val="NormalWeb"/>
        <w:spacing w:before="0" w:beforeAutospacing="0" w:after="0" w:afterAutospacing="0" w:line="480" w:lineRule="auto"/>
      </w:pPr>
      <w:r w:rsidRPr="00FD3442">
        <w:t xml:space="preserve">   </w:t>
      </w:r>
      <w:r>
        <w:tab/>
      </w:r>
      <w:r w:rsidRPr="00FD3442">
        <w:t xml:space="preserve"> In cases where the government identifies undesired quality in delivering services, a collection of actions can be taken to the contractor. This includes terminating the contract because the contractor is providing unacceptable performance levels (WIPP Transportation </w:t>
      </w:r>
      <w:r w:rsidRPr="00FD3442">
        <w:lastRenderedPageBreak/>
        <w:t>Services, 2017). In addition to this, the government can also issue cure notices if poor performance is detected.</w:t>
      </w:r>
    </w:p>
    <w:p w:rsidR="00023EBF" w:rsidRPr="00FD3442" w:rsidRDefault="00023EBF" w:rsidP="006032F8">
      <w:pPr>
        <w:pStyle w:val="NormalWeb"/>
        <w:spacing w:before="0" w:beforeAutospacing="0" w:after="0" w:afterAutospacing="0" w:line="480" w:lineRule="auto"/>
      </w:pPr>
    </w:p>
    <w:p w:rsidR="00023EBF" w:rsidRDefault="00023EBF"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Default="00FD3442" w:rsidP="006032F8">
      <w:pPr>
        <w:pStyle w:val="NormalWeb"/>
        <w:spacing w:before="0" w:beforeAutospacing="0" w:after="0" w:afterAutospacing="0" w:line="480" w:lineRule="auto"/>
        <w:rPr>
          <w:i/>
        </w:rPr>
      </w:pPr>
    </w:p>
    <w:p w:rsidR="00FD3442" w:rsidRPr="006032F8" w:rsidRDefault="00FD3442" w:rsidP="006032F8">
      <w:pPr>
        <w:pStyle w:val="NormalWeb"/>
        <w:spacing w:before="0" w:beforeAutospacing="0" w:after="0" w:afterAutospacing="0" w:line="480" w:lineRule="auto"/>
        <w:rPr>
          <w:i/>
        </w:rPr>
      </w:pPr>
    </w:p>
    <w:sdt>
      <w:sdtPr>
        <w:rPr>
          <w:rFonts w:ascii="Times New Roman" w:eastAsiaTheme="minorHAnsi" w:hAnsi="Times New Roman" w:cs="Times New Roman"/>
          <w:color w:val="auto"/>
          <w:sz w:val="24"/>
          <w:szCs w:val="24"/>
        </w:rPr>
        <w:id w:val="1674295168"/>
        <w:docPartObj>
          <w:docPartGallery w:val="Bibliographies"/>
          <w:docPartUnique/>
        </w:docPartObj>
      </w:sdtPr>
      <w:sdtEndPr/>
      <w:sdtContent>
        <w:p w:rsidR="00023EBF" w:rsidRPr="001D1B02" w:rsidRDefault="00023EBF" w:rsidP="001D1B02">
          <w:pPr>
            <w:pStyle w:val="Heading1"/>
            <w:spacing w:line="480" w:lineRule="auto"/>
            <w:jc w:val="center"/>
            <w:rPr>
              <w:rFonts w:ascii="Times New Roman" w:hAnsi="Times New Roman" w:cs="Times New Roman"/>
              <w:color w:val="auto"/>
              <w:sz w:val="24"/>
              <w:szCs w:val="24"/>
            </w:rPr>
          </w:pPr>
          <w:r w:rsidRPr="001D1B02">
            <w:rPr>
              <w:rFonts w:ascii="Times New Roman" w:hAnsi="Times New Roman" w:cs="Times New Roman"/>
              <w:color w:val="auto"/>
              <w:sz w:val="24"/>
              <w:szCs w:val="24"/>
            </w:rPr>
            <w:t>References</w:t>
          </w:r>
        </w:p>
        <w:sdt>
          <w:sdtPr>
            <w:rPr>
              <w:rFonts w:ascii="Times New Roman" w:hAnsi="Times New Roman" w:cs="Times New Roman"/>
              <w:noProof/>
              <w:sz w:val="24"/>
              <w:szCs w:val="24"/>
            </w:rPr>
            <w:id w:val="-573587230"/>
            <w:bibliography/>
          </w:sdtPr>
          <w:sdtEndPr>
            <w:rPr>
              <w:noProof w:val="0"/>
            </w:rPr>
          </w:sdtEndPr>
          <w:sdtContent>
            <w:p w:rsidR="00023EBF" w:rsidRPr="006032F8" w:rsidRDefault="00023EBF" w:rsidP="006032F8">
              <w:pPr>
                <w:pStyle w:val="Bibliography"/>
                <w:spacing w:line="480" w:lineRule="auto"/>
                <w:ind w:left="720" w:hanging="720"/>
                <w:rPr>
                  <w:rFonts w:ascii="Times New Roman" w:hAnsi="Times New Roman" w:cs="Times New Roman"/>
                  <w:noProof/>
                  <w:sz w:val="24"/>
                  <w:szCs w:val="24"/>
                </w:rPr>
              </w:pPr>
              <w:r w:rsidRPr="006032F8">
                <w:rPr>
                  <w:rFonts w:ascii="Times New Roman" w:hAnsi="Times New Roman" w:cs="Times New Roman"/>
                  <w:noProof/>
                  <w:sz w:val="24"/>
                  <w:szCs w:val="24"/>
                </w:rPr>
                <w:fldChar w:fldCharType="begin"/>
              </w:r>
              <w:r w:rsidRPr="006032F8">
                <w:rPr>
                  <w:rFonts w:ascii="Times New Roman" w:hAnsi="Times New Roman" w:cs="Times New Roman"/>
                  <w:noProof/>
                  <w:sz w:val="24"/>
                  <w:szCs w:val="24"/>
                </w:rPr>
                <w:instrText xml:space="preserve"> BIBLIOGRAPHY </w:instrText>
              </w:r>
              <w:r w:rsidRPr="006032F8">
                <w:rPr>
                  <w:rFonts w:ascii="Times New Roman" w:hAnsi="Times New Roman" w:cs="Times New Roman"/>
                  <w:noProof/>
                  <w:sz w:val="24"/>
                  <w:szCs w:val="24"/>
                </w:rPr>
                <w:fldChar w:fldCharType="separate"/>
              </w:r>
              <w:r w:rsidRPr="006032F8">
                <w:rPr>
                  <w:rFonts w:ascii="Times New Roman" w:hAnsi="Times New Roman" w:cs="Times New Roman"/>
                  <w:noProof/>
                  <w:sz w:val="24"/>
                  <w:szCs w:val="24"/>
                </w:rPr>
                <w:t>Defe</w:t>
              </w:r>
              <w:r w:rsidR="00062B02" w:rsidRPr="006032F8">
                <w:rPr>
                  <w:rFonts w:ascii="Times New Roman" w:hAnsi="Times New Roman" w:cs="Times New Roman"/>
                  <w:noProof/>
                  <w:sz w:val="24"/>
                  <w:szCs w:val="24"/>
                </w:rPr>
                <w:t>ns</w:t>
              </w:r>
              <w:r w:rsidRPr="006032F8">
                <w:rPr>
                  <w:rFonts w:ascii="Times New Roman" w:hAnsi="Times New Roman" w:cs="Times New Roman"/>
                  <w:noProof/>
                  <w:sz w:val="24"/>
                  <w:szCs w:val="24"/>
                </w:rPr>
                <w:t xml:space="preserve">e Acquisition University. (2018, June 20). </w:t>
              </w:r>
              <w:r w:rsidRPr="006032F8">
                <w:rPr>
                  <w:rFonts w:ascii="Times New Roman" w:hAnsi="Times New Roman" w:cs="Times New Roman"/>
                  <w:i/>
                  <w:iCs/>
                  <w:noProof/>
                  <w:sz w:val="24"/>
                  <w:szCs w:val="24"/>
                </w:rPr>
                <w:t>Quality Assurance Surveillance Plan (QASP)</w:t>
              </w:r>
              <w:r w:rsidRPr="006032F8">
                <w:rPr>
                  <w:rFonts w:ascii="Times New Roman" w:hAnsi="Times New Roman" w:cs="Times New Roman"/>
                  <w:noProof/>
                  <w:sz w:val="24"/>
                  <w:szCs w:val="24"/>
                </w:rPr>
                <w:t>. Retrieved from Defense Acquisition University: https://www.dau.mil/acquipedia/Pages/ArticleDetails.aspx?aid=07612fab-5891-4078-abfc-a6a7ca2b8c0a</w:t>
              </w:r>
            </w:p>
            <w:p w:rsidR="00023EBF" w:rsidRPr="006032F8" w:rsidRDefault="00023EBF" w:rsidP="006032F8">
              <w:pPr>
                <w:pStyle w:val="Bibliography"/>
                <w:spacing w:line="480" w:lineRule="auto"/>
                <w:ind w:left="720" w:hanging="720"/>
                <w:rPr>
                  <w:rFonts w:ascii="Times New Roman" w:hAnsi="Times New Roman" w:cs="Times New Roman"/>
                  <w:noProof/>
                  <w:sz w:val="24"/>
                  <w:szCs w:val="24"/>
                </w:rPr>
              </w:pPr>
              <w:r w:rsidRPr="006032F8">
                <w:rPr>
                  <w:rFonts w:ascii="Times New Roman" w:hAnsi="Times New Roman" w:cs="Times New Roman"/>
                  <w:noProof/>
                  <w:sz w:val="24"/>
                  <w:szCs w:val="24"/>
                </w:rPr>
                <w:t xml:space="preserve">Department of Defense. (2010). </w:t>
              </w:r>
              <w:r w:rsidRPr="006032F8">
                <w:rPr>
                  <w:rFonts w:ascii="Times New Roman" w:hAnsi="Times New Roman" w:cs="Times New Roman"/>
                  <w:i/>
                  <w:iCs/>
                  <w:noProof/>
                  <w:sz w:val="24"/>
                  <w:szCs w:val="24"/>
                </w:rPr>
                <w:t>Operational Contract Support Concept of Operations.</w:t>
              </w:r>
              <w:r w:rsidRPr="006032F8">
                <w:rPr>
                  <w:rFonts w:ascii="Times New Roman" w:hAnsi="Times New Roman" w:cs="Times New Roman"/>
                  <w:noProof/>
                  <w:sz w:val="24"/>
                  <w:szCs w:val="24"/>
                </w:rPr>
                <w:t xml:space="preserve"> Washington: Department of Defense.</w:t>
              </w:r>
            </w:p>
            <w:p w:rsidR="00023EBF" w:rsidRPr="006032F8" w:rsidRDefault="00023EBF" w:rsidP="006032F8">
              <w:pPr>
                <w:pStyle w:val="Bibliography"/>
                <w:spacing w:line="480" w:lineRule="auto"/>
                <w:ind w:left="720" w:hanging="720"/>
                <w:rPr>
                  <w:rFonts w:ascii="Times New Roman" w:hAnsi="Times New Roman" w:cs="Times New Roman"/>
                  <w:noProof/>
                  <w:sz w:val="24"/>
                  <w:szCs w:val="24"/>
                </w:rPr>
              </w:pPr>
              <w:r w:rsidRPr="006032F8">
                <w:rPr>
                  <w:rFonts w:ascii="Times New Roman" w:hAnsi="Times New Roman" w:cs="Times New Roman"/>
                  <w:noProof/>
                  <w:sz w:val="24"/>
                  <w:szCs w:val="24"/>
                </w:rPr>
                <w:t xml:space="preserve">Gould, L. C. (2012, August). </w:t>
              </w:r>
              <w:r w:rsidRPr="006032F8">
                <w:rPr>
                  <w:rFonts w:ascii="Times New Roman" w:hAnsi="Times New Roman" w:cs="Times New Roman"/>
                  <w:i/>
                  <w:iCs/>
                  <w:noProof/>
                  <w:sz w:val="24"/>
                  <w:szCs w:val="24"/>
                </w:rPr>
                <w:t>Operational Contract Support: Not just for Contingencies</w:t>
              </w:r>
              <w:r w:rsidRPr="006032F8">
                <w:rPr>
                  <w:rFonts w:ascii="Times New Roman" w:hAnsi="Times New Roman" w:cs="Times New Roman"/>
                  <w:noProof/>
                  <w:sz w:val="24"/>
                  <w:szCs w:val="24"/>
                </w:rPr>
                <w:t>. Retrieved from Army Sustainment: http://www.alu.army.mil/alog/issues/julaug12/Operational_Contract_Support.html</w:t>
              </w:r>
            </w:p>
            <w:p w:rsidR="00023EBF" w:rsidRPr="006032F8" w:rsidRDefault="00023EBF" w:rsidP="006032F8">
              <w:pPr>
                <w:pStyle w:val="Bibliography"/>
                <w:spacing w:line="480" w:lineRule="auto"/>
                <w:ind w:left="720" w:hanging="720"/>
                <w:rPr>
                  <w:rFonts w:ascii="Times New Roman" w:hAnsi="Times New Roman" w:cs="Times New Roman"/>
                  <w:noProof/>
                  <w:sz w:val="24"/>
                  <w:szCs w:val="24"/>
                </w:rPr>
              </w:pPr>
              <w:r w:rsidRPr="006032F8">
                <w:rPr>
                  <w:rFonts w:ascii="Times New Roman" w:hAnsi="Times New Roman" w:cs="Times New Roman"/>
                  <w:noProof/>
                  <w:sz w:val="24"/>
                  <w:szCs w:val="24"/>
                </w:rPr>
                <w:t xml:space="preserve">Joint Chiefs of Staff. (2014). </w:t>
              </w:r>
              <w:r w:rsidRPr="006032F8">
                <w:rPr>
                  <w:rFonts w:ascii="Times New Roman" w:hAnsi="Times New Roman" w:cs="Times New Roman"/>
                  <w:i/>
                  <w:iCs/>
                  <w:noProof/>
                  <w:sz w:val="24"/>
                  <w:szCs w:val="24"/>
                </w:rPr>
                <w:t>Operational Contract Support.</w:t>
              </w:r>
              <w:r w:rsidRPr="006032F8">
                <w:rPr>
                  <w:rFonts w:ascii="Times New Roman" w:hAnsi="Times New Roman" w:cs="Times New Roman"/>
                  <w:noProof/>
                  <w:sz w:val="24"/>
                  <w:szCs w:val="24"/>
                </w:rPr>
                <w:t xml:space="preserve"> JointChiefs of Staff.</w:t>
              </w:r>
            </w:p>
            <w:p w:rsidR="00023EBF" w:rsidRPr="006032F8" w:rsidRDefault="00023EBF" w:rsidP="006032F8">
              <w:pPr>
                <w:pStyle w:val="Bibliography"/>
                <w:spacing w:line="480" w:lineRule="auto"/>
                <w:ind w:left="720" w:hanging="720"/>
                <w:rPr>
                  <w:rFonts w:ascii="Times New Roman" w:hAnsi="Times New Roman" w:cs="Times New Roman"/>
                  <w:noProof/>
                  <w:sz w:val="24"/>
                  <w:szCs w:val="24"/>
                </w:rPr>
              </w:pPr>
              <w:r w:rsidRPr="006032F8">
                <w:rPr>
                  <w:rFonts w:ascii="Times New Roman" w:hAnsi="Times New Roman" w:cs="Times New Roman"/>
                  <w:noProof/>
                  <w:sz w:val="24"/>
                  <w:szCs w:val="24"/>
                </w:rPr>
                <w:t xml:space="preserve">Shields, P. (2014, July 30). A COR's Guide to the Quality Assurance Surveillance. </w:t>
              </w:r>
              <w:r w:rsidRPr="006032F8">
                <w:rPr>
                  <w:rFonts w:ascii="Times New Roman" w:hAnsi="Times New Roman" w:cs="Times New Roman"/>
                  <w:i/>
                  <w:iCs/>
                  <w:noProof/>
                  <w:sz w:val="24"/>
                  <w:szCs w:val="24"/>
                </w:rPr>
                <w:t>Vir</w:t>
              </w:r>
              <w:r w:rsidR="00FB446C" w:rsidRPr="006032F8">
                <w:rPr>
                  <w:rFonts w:ascii="Times New Roman" w:hAnsi="Times New Roman" w:cs="Times New Roman"/>
                  <w:i/>
                  <w:iCs/>
                  <w:noProof/>
                  <w:sz w:val="24"/>
                  <w:szCs w:val="24"/>
                </w:rPr>
                <w:t>tu</w:t>
              </w:r>
              <w:r w:rsidRPr="006032F8">
                <w:rPr>
                  <w:rFonts w:ascii="Times New Roman" w:hAnsi="Times New Roman" w:cs="Times New Roman"/>
                  <w:i/>
                  <w:iCs/>
                  <w:noProof/>
                  <w:sz w:val="24"/>
                  <w:szCs w:val="24"/>
                </w:rPr>
                <w:t xml:space="preserve">al Aquisition Office Quick Reference </w:t>
              </w:r>
              <w:r w:rsidR="00FB446C" w:rsidRPr="006032F8">
                <w:rPr>
                  <w:rFonts w:ascii="Times New Roman" w:hAnsi="Times New Roman" w:cs="Times New Roman"/>
                  <w:i/>
                  <w:iCs/>
                  <w:noProof/>
                  <w:sz w:val="24"/>
                  <w:szCs w:val="24"/>
                </w:rPr>
                <w:t>G</w:t>
              </w:r>
              <w:r w:rsidRPr="006032F8">
                <w:rPr>
                  <w:rFonts w:ascii="Times New Roman" w:hAnsi="Times New Roman" w:cs="Times New Roman"/>
                  <w:i/>
                  <w:iCs/>
                  <w:noProof/>
                  <w:sz w:val="24"/>
                  <w:szCs w:val="24"/>
                </w:rPr>
                <w:t>uide</w:t>
              </w:r>
              <w:r w:rsidRPr="006032F8">
                <w:rPr>
                  <w:rFonts w:ascii="Times New Roman" w:hAnsi="Times New Roman" w:cs="Times New Roman"/>
                  <w:noProof/>
                  <w:sz w:val="24"/>
                  <w:szCs w:val="24"/>
                </w:rPr>
                <w:t>, pp. 1-3.</w:t>
              </w:r>
            </w:p>
            <w:p w:rsidR="00023EBF" w:rsidRPr="006032F8" w:rsidRDefault="00023EBF" w:rsidP="006032F8">
              <w:pPr>
                <w:pStyle w:val="Bibliography"/>
                <w:spacing w:line="480" w:lineRule="auto"/>
                <w:ind w:left="720" w:hanging="720"/>
                <w:rPr>
                  <w:rFonts w:ascii="Times New Roman" w:hAnsi="Times New Roman" w:cs="Times New Roman"/>
                  <w:noProof/>
                  <w:sz w:val="24"/>
                  <w:szCs w:val="24"/>
                </w:rPr>
              </w:pPr>
              <w:r w:rsidRPr="006032F8">
                <w:rPr>
                  <w:rFonts w:ascii="Times New Roman" w:hAnsi="Times New Roman" w:cs="Times New Roman"/>
                  <w:noProof/>
                  <w:sz w:val="24"/>
                  <w:szCs w:val="24"/>
                </w:rPr>
                <w:t xml:space="preserve">WIPP Transportation Services. (2017). </w:t>
              </w:r>
              <w:r w:rsidRPr="006032F8">
                <w:rPr>
                  <w:rFonts w:ascii="Times New Roman" w:hAnsi="Times New Roman" w:cs="Times New Roman"/>
                  <w:i/>
                  <w:iCs/>
                  <w:noProof/>
                  <w:sz w:val="24"/>
                  <w:szCs w:val="24"/>
                </w:rPr>
                <w:t>QUALITY ASSURANCE SURVEILLANCE PLAN (QASP) .</w:t>
              </w:r>
              <w:r w:rsidRPr="006032F8">
                <w:rPr>
                  <w:rFonts w:ascii="Times New Roman" w:hAnsi="Times New Roman" w:cs="Times New Roman"/>
                  <w:noProof/>
                  <w:sz w:val="24"/>
                  <w:szCs w:val="24"/>
                </w:rPr>
                <w:t xml:space="preserve"> WIPP Transportation Services.</w:t>
              </w:r>
            </w:p>
            <w:p w:rsidR="00023EBF" w:rsidRPr="006032F8" w:rsidRDefault="00023EBF" w:rsidP="006032F8">
              <w:pPr>
                <w:spacing w:line="480" w:lineRule="auto"/>
                <w:rPr>
                  <w:rFonts w:ascii="Times New Roman" w:hAnsi="Times New Roman" w:cs="Times New Roman"/>
                  <w:sz w:val="24"/>
                  <w:szCs w:val="24"/>
                </w:rPr>
              </w:pPr>
              <w:r w:rsidRPr="006032F8">
                <w:rPr>
                  <w:rFonts w:ascii="Times New Roman" w:hAnsi="Times New Roman" w:cs="Times New Roman"/>
                  <w:b/>
                  <w:bCs/>
                  <w:noProof/>
                  <w:sz w:val="24"/>
                  <w:szCs w:val="24"/>
                </w:rPr>
                <w:fldChar w:fldCharType="end"/>
              </w:r>
            </w:p>
          </w:sdtContent>
        </w:sdt>
      </w:sdtContent>
    </w:sdt>
    <w:p w:rsidR="00AE6601" w:rsidRPr="006032F8" w:rsidRDefault="00AE6601" w:rsidP="006032F8">
      <w:pPr>
        <w:pStyle w:val="NormalWeb"/>
        <w:spacing w:before="0" w:beforeAutospacing="0" w:after="0" w:afterAutospacing="0" w:line="480" w:lineRule="auto"/>
      </w:pPr>
    </w:p>
    <w:sectPr w:rsidR="00AE6601" w:rsidRPr="006032F8" w:rsidSect="00AD7FC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D9A" w:rsidRDefault="00170D9A" w:rsidP="000D18AB">
      <w:pPr>
        <w:spacing w:after="0" w:line="240" w:lineRule="auto"/>
      </w:pPr>
      <w:r>
        <w:separator/>
      </w:r>
    </w:p>
  </w:endnote>
  <w:endnote w:type="continuationSeparator" w:id="0">
    <w:p w:rsidR="00170D9A" w:rsidRDefault="00170D9A"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4CD" w:rsidRDefault="00CF34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4CD" w:rsidRDefault="00CF34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4CD" w:rsidRDefault="00CF34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D9A" w:rsidRDefault="00170D9A" w:rsidP="000D18AB">
      <w:pPr>
        <w:spacing w:after="0" w:line="240" w:lineRule="auto"/>
      </w:pPr>
      <w:r>
        <w:separator/>
      </w:r>
    </w:p>
  </w:footnote>
  <w:footnote w:type="continuationSeparator" w:id="0">
    <w:p w:rsidR="00170D9A" w:rsidRDefault="00170D9A"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4CD" w:rsidRDefault="00CF34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71CA" w:rsidRPr="00FD3442" w:rsidRDefault="00FD3442" w:rsidP="00FD3442">
    <w:pPr>
      <w:pStyle w:val="Header"/>
    </w:pPr>
    <w:r>
      <w:rPr>
        <w:rFonts w:ascii="Times New Roman" w:hAnsi="Times New Roman" w:cs="Times New Roman"/>
        <w:sz w:val="24"/>
        <w:szCs w:val="24"/>
      </w:rPr>
      <w:t xml:space="preserve">CONTRACT SUPPORT AND QUALITY ASSURANCE </w:t>
    </w:r>
    <w:r>
      <w:rPr>
        <w:rFonts w:ascii="Times New Roman" w:hAnsi="Times New Roman" w:cs="Times New Roman"/>
        <w:sz w:val="24"/>
        <w:szCs w:val="24"/>
      </w:rPr>
      <w:tab/>
    </w:r>
    <w:r w:rsidRPr="00FD3442">
      <w:rPr>
        <w:rFonts w:ascii="Times New Roman" w:hAnsi="Times New Roman" w:cs="Times New Roman"/>
        <w:sz w:val="24"/>
        <w:szCs w:val="24"/>
      </w:rPr>
      <w:fldChar w:fldCharType="begin"/>
    </w:r>
    <w:r w:rsidRPr="00FD3442">
      <w:rPr>
        <w:rFonts w:ascii="Times New Roman" w:hAnsi="Times New Roman" w:cs="Times New Roman"/>
        <w:sz w:val="24"/>
        <w:szCs w:val="24"/>
      </w:rPr>
      <w:instrText xml:space="preserve"> PAGE   \* MERGEFORMAT </w:instrText>
    </w:r>
    <w:r w:rsidRPr="00FD3442">
      <w:rPr>
        <w:rFonts w:ascii="Times New Roman" w:hAnsi="Times New Roman" w:cs="Times New Roman"/>
        <w:sz w:val="24"/>
        <w:szCs w:val="24"/>
      </w:rPr>
      <w:fldChar w:fldCharType="separate"/>
    </w:r>
    <w:r w:rsidR="00766B3B">
      <w:rPr>
        <w:rFonts w:ascii="Times New Roman" w:hAnsi="Times New Roman" w:cs="Times New Roman"/>
        <w:noProof/>
        <w:sz w:val="24"/>
        <w:szCs w:val="24"/>
      </w:rPr>
      <w:t>2</w:t>
    </w:r>
    <w:r w:rsidRPr="00FD3442">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7A5C79">
      <w:rPr>
        <w:rFonts w:ascii="Times New Roman" w:hAnsi="Times New Roman" w:cs="Times New Roman"/>
        <w:sz w:val="24"/>
        <w:szCs w:val="24"/>
      </w:rPr>
      <w:t xml:space="preserve">CONTRACT SUPPORT AND QUALITY ASSURANCE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NKoFAAQFqLgtAAAA"/>
  </w:docVars>
  <w:rsids>
    <w:rsidRoot w:val="00132776"/>
    <w:rsid w:val="0000159C"/>
    <w:rsid w:val="00001D17"/>
    <w:rsid w:val="00006D02"/>
    <w:rsid w:val="0000711E"/>
    <w:rsid w:val="00015957"/>
    <w:rsid w:val="00023EBF"/>
    <w:rsid w:val="00035981"/>
    <w:rsid w:val="000365C0"/>
    <w:rsid w:val="00045183"/>
    <w:rsid w:val="000459EE"/>
    <w:rsid w:val="00050CA7"/>
    <w:rsid w:val="0005630C"/>
    <w:rsid w:val="000569AD"/>
    <w:rsid w:val="00056EA8"/>
    <w:rsid w:val="0006194B"/>
    <w:rsid w:val="0006267C"/>
    <w:rsid w:val="00062B02"/>
    <w:rsid w:val="0006405B"/>
    <w:rsid w:val="000659A3"/>
    <w:rsid w:val="000748FF"/>
    <w:rsid w:val="00074A4F"/>
    <w:rsid w:val="00076C06"/>
    <w:rsid w:val="000825ED"/>
    <w:rsid w:val="000929BD"/>
    <w:rsid w:val="0009746B"/>
    <w:rsid w:val="000A0299"/>
    <w:rsid w:val="000A1732"/>
    <w:rsid w:val="000A56ED"/>
    <w:rsid w:val="000A5B02"/>
    <w:rsid w:val="000B77C6"/>
    <w:rsid w:val="000B7E32"/>
    <w:rsid w:val="000C2132"/>
    <w:rsid w:val="000C4316"/>
    <w:rsid w:val="000C74F0"/>
    <w:rsid w:val="000D18AB"/>
    <w:rsid w:val="000D6930"/>
    <w:rsid w:val="000E4453"/>
    <w:rsid w:val="000E573A"/>
    <w:rsid w:val="000F79D1"/>
    <w:rsid w:val="001049AF"/>
    <w:rsid w:val="00121259"/>
    <w:rsid w:val="0012158D"/>
    <w:rsid w:val="00127C06"/>
    <w:rsid w:val="00131295"/>
    <w:rsid w:val="00132721"/>
    <w:rsid w:val="00132776"/>
    <w:rsid w:val="00133346"/>
    <w:rsid w:val="00140AAF"/>
    <w:rsid w:val="00146EE3"/>
    <w:rsid w:val="00152976"/>
    <w:rsid w:val="00160C33"/>
    <w:rsid w:val="00163EBF"/>
    <w:rsid w:val="00166B5A"/>
    <w:rsid w:val="00170D9A"/>
    <w:rsid w:val="00176CC6"/>
    <w:rsid w:val="00182BE6"/>
    <w:rsid w:val="00183613"/>
    <w:rsid w:val="00183BEA"/>
    <w:rsid w:val="00184437"/>
    <w:rsid w:val="001978D7"/>
    <w:rsid w:val="001A6449"/>
    <w:rsid w:val="001A6E1C"/>
    <w:rsid w:val="001B331D"/>
    <w:rsid w:val="001B6751"/>
    <w:rsid w:val="001C1909"/>
    <w:rsid w:val="001C455B"/>
    <w:rsid w:val="001C713C"/>
    <w:rsid w:val="001D1B02"/>
    <w:rsid w:val="001D3C4C"/>
    <w:rsid w:val="001D6DF3"/>
    <w:rsid w:val="001E5844"/>
    <w:rsid w:val="001F43C2"/>
    <w:rsid w:val="001F5FA9"/>
    <w:rsid w:val="0023474E"/>
    <w:rsid w:val="00240A7B"/>
    <w:rsid w:val="00243F68"/>
    <w:rsid w:val="002510E1"/>
    <w:rsid w:val="002626B3"/>
    <w:rsid w:val="00265D54"/>
    <w:rsid w:val="00273620"/>
    <w:rsid w:val="00280B9D"/>
    <w:rsid w:val="00280DAA"/>
    <w:rsid w:val="00283674"/>
    <w:rsid w:val="0028637A"/>
    <w:rsid w:val="00286C20"/>
    <w:rsid w:val="00297C50"/>
    <w:rsid w:val="002A1307"/>
    <w:rsid w:val="002B1A3F"/>
    <w:rsid w:val="002B50CD"/>
    <w:rsid w:val="002C56C7"/>
    <w:rsid w:val="002C715F"/>
    <w:rsid w:val="002D3035"/>
    <w:rsid w:val="002D321A"/>
    <w:rsid w:val="002D7A8D"/>
    <w:rsid w:val="002E0CB2"/>
    <w:rsid w:val="002F0467"/>
    <w:rsid w:val="002F4E32"/>
    <w:rsid w:val="002F70C7"/>
    <w:rsid w:val="003073A0"/>
    <w:rsid w:val="00310EF3"/>
    <w:rsid w:val="00311813"/>
    <w:rsid w:val="00312D9C"/>
    <w:rsid w:val="003157CA"/>
    <w:rsid w:val="0031775D"/>
    <w:rsid w:val="00320D94"/>
    <w:rsid w:val="0032363D"/>
    <w:rsid w:val="003275AD"/>
    <w:rsid w:val="003312F6"/>
    <w:rsid w:val="00337935"/>
    <w:rsid w:val="0034401E"/>
    <w:rsid w:val="0034428C"/>
    <w:rsid w:val="00344E35"/>
    <w:rsid w:val="00350B5D"/>
    <w:rsid w:val="003632D3"/>
    <w:rsid w:val="003632E6"/>
    <w:rsid w:val="00363B29"/>
    <w:rsid w:val="00366601"/>
    <w:rsid w:val="00373138"/>
    <w:rsid w:val="003776AA"/>
    <w:rsid w:val="0038201C"/>
    <w:rsid w:val="003840CA"/>
    <w:rsid w:val="003947AF"/>
    <w:rsid w:val="00394E96"/>
    <w:rsid w:val="003B2535"/>
    <w:rsid w:val="003B2FB5"/>
    <w:rsid w:val="003B43E4"/>
    <w:rsid w:val="003B44F8"/>
    <w:rsid w:val="003B69E0"/>
    <w:rsid w:val="003B7A93"/>
    <w:rsid w:val="003C33EF"/>
    <w:rsid w:val="003C743C"/>
    <w:rsid w:val="003D43B1"/>
    <w:rsid w:val="003E087E"/>
    <w:rsid w:val="003E1331"/>
    <w:rsid w:val="003F0085"/>
    <w:rsid w:val="003F53DF"/>
    <w:rsid w:val="00406BA7"/>
    <w:rsid w:val="00407C74"/>
    <w:rsid w:val="004500D1"/>
    <w:rsid w:val="004501BF"/>
    <w:rsid w:val="0045338B"/>
    <w:rsid w:val="00456101"/>
    <w:rsid w:val="0046169A"/>
    <w:rsid w:val="004636D1"/>
    <w:rsid w:val="00465254"/>
    <w:rsid w:val="00465C6D"/>
    <w:rsid w:val="00467BA5"/>
    <w:rsid w:val="00482819"/>
    <w:rsid w:val="00485A67"/>
    <w:rsid w:val="00486269"/>
    <w:rsid w:val="00490E03"/>
    <w:rsid w:val="00493779"/>
    <w:rsid w:val="004A1D0B"/>
    <w:rsid w:val="004A3FCA"/>
    <w:rsid w:val="004A5BD5"/>
    <w:rsid w:val="004A6AD7"/>
    <w:rsid w:val="004B6A50"/>
    <w:rsid w:val="004C1A6C"/>
    <w:rsid w:val="004D6EFE"/>
    <w:rsid w:val="004E4C40"/>
    <w:rsid w:val="004E4ED7"/>
    <w:rsid w:val="004F05DC"/>
    <w:rsid w:val="004F65A7"/>
    <w:rsid w:val="004F76E2"/>
    <w:rsid w:val="00500663"/>
    <w:rsid w:val="00507767"/>
    <w:rsid w:val="00522578"/>
    <w:rsid w:val="00523A04"/>
    <w:rsid w:val="00534071"/>
    <w:rsid w:val="00537D80"/>
    <w:rsid w:val="0054246D"/>
    <w:rsid w:val="00545523"/>
    <w:rsid w:val="005650CE"/>
    <w:rsid w:val="00570080"/>
    <w:rsid w:val="00570A92"/>
    <w:rsid w:val="00574B1F"/>
    <w:rsid w:val="00581EAD"/>
    <w:rsid w:val="00594A64"/>
    <w:rsid w:val="00594E25"/>
    <w:rsid w:val="005A7FF6"/>
    <w:rsid w:val="005C594E"/>
    <w:rsid w:val="005D19A3"/>
    <w:rsid w:val="005D6352"/>
    <w:rsid w:val="005D7BED"/>
    <w:rsid w:val="005E33B4"/>
    <w:rsid w:val="005E6F3C"/>
    <w:rsid w:val="005E7A50"/>
    <w:rsid w:val="005F3A87"/>
    <w:rsid w:val="006032F8"/>
    <w:rsid w:val="00604590"/>
    <w:rsid w:val="006066EC"/>
    <w:rsid w:val="00606F87"/>
    <w:rsid w:val="00610649"/>
    <w:rsid w:val="00610B23"/>
    <w:rsid w:val="00611D8E"/>
    <w:rsid w:val="006219B0"/>
    <w:rsid w:val="00621EF0"/>
    <w:rsid w:val="0062276C"/>
    <w:rsid w:val="0062556D"/>
    <w:rsid w:val="006304FA"/>
    <w:rsid w:val="00631A31"/>
    <w:rsid w:val="00633C39"/>
    <w:rsid w:val="006530FD"/>
    <w:rsid w:val="00653A00"/>
    <w:rsid w:val="0066794D"/>
    <w:rsid w:val="006775B7"/>
    <w:rsid w:val="0068158E"/>
    <w:rsid w:val="006870A3"/>
    <w:rsid w:val="006B0F38"/>
    <w:rsid w:val="006B0FEA"/>
    <w:rsid w:val="006B5F18"/>
    <w:rsid w:val="006B7965"/>
    <w:rsid w:val="006C3BA5"/>
    <w:rsid w:val="006C416F"/>
    <w:rsid w:val="006C50B9"/>
    <w:rsid w:val="006D1070"/>
    <w:rsid w:val="006D43D3"/>
    <w:rsid w:val="006D7ED1"/>
    <w:rsid w:val="006F5662"/>
    <w:rsid w:val="007006CA"/>
    <w:rsid w:val="00704CA6"/>
    <w:rsid w:val="00705A84"/>
    <w:rsid w:val="00710096"/>
    <w:rsid w:val="00721E50"/>
    <w:rsid w:val="00723390"/>
    <w:rsid w:val="007334E3"/>
    <w:rsid w:val="0074251F"/>
    <w:rsid w:val="00751E13"/>
    <w:rsid w:val="007525E4"/>
    <w:rsid w:val="00755B66"/>
    <w:rsid w:val="00756DE8"/>
    <w:rsid w:val="00757097"/>
    <w:rsid w:val="0075763A"/>
    <w:rsid w:val="007669F9"/>
    <w:rsid w:val="00766B3B"/>
    <w:rsid w:val="00771FF1"/>
    <w:rsid w:val="00786F0A"/>
    <w:rsid w:val="00791B20"/>
    <w:rsid w:val="00796ADB"/>
    <w:rsid w:val="007A5C79"/>
    <w:rsid w:val="007B020B"/>
    <w:rsid w:val="007B350E"/>
    <w:rsid w:val="007B6B40"/>
    <w:rsid w:val="007B7E2B"/>
    <w:rsid w:val="007C0CFE"/>
    <w:rsid w:val="007C3B64"/>
    <w:rsid w:val="007D3117"/>
    <w:rsid w:val="007D7DFF"/>
    <w:rsid w:val="007E041B"/>
    <w:rsid w:val="007E7E8C"/>
    <w:rsid w:val="007E7F3A"/>
    <w:rsid w:val="007F10A2"/>
    <w:rsid w:val="007F3F40"/>
    <w:rsid w:val="007F4582"/>
    <w:rsid w:val="00805A16"/>
    <w:rsid w:val="00824D06"/>
    <w:rsid w:val="00827C78"/>
    <w:rsid w:val="00832F02"/>
    <w:rsid w:val="00836109"/>
    <w:rsid w:val="0084015C"/>
    <w:rsid w:val="008411C7"/>
    <w:rsid w:val="00844679"/>
    <w:rsid w:val="00845183"/>
    <w:rsid w:val="00845A27"/>
    <w:rsid w:val="00847462"/>
    <w:rsid w:val="00850D86"/>
    <w:rsid w:val="00851CAC"/>
    <w:rsid w:val="00855D21"/>
    <w:rsid w:val="00861AE3"/>
    <w:rsid w:val="00872CBC"/>
    <w:rsid w:val="00880D1E"/>
    <w:rsid w:val="008819B0"/>
    <w:rsid w:val="00884977"/>
    <w:rsid w:val="00884B16"/>
    <w:rsid w:val="00886F07"/>
    <w:rsid w:val="00890333"/>
    <w:rsid w:val="008906DA"/>
    <w:rsid w:val="008919F4"/>
    <w:rsid w:val="00892830"/>
    <w:rsid w:val="008967E9"/>
    <w:rsid w:val="00897C75"/>
    <w:rsid w:val="008A3257"/>
    <w:rsid w:val="008A6A84"/>
    <w:rsid w:val="008B08E6"/>
    <w:rsid w:val="008B3A62"/>
    <w:rsid w:val="008B6FBD"/>
    <w:rsid w:val="008B7189"/>
    <w:rsid w:val="008C2725"/>
    <w:rsid w:val="008C744F"/>
    <w:rsid w:val="008D2247"/>
    <w:rsid w:val="008D7335"/>
    <w:rsid w:val="008E0251"/>
    <w:rsid w:val="008E145F"/>
    <w:rsid w:val="008E7372"/>
    <w:rsid w:val="008E759F"/>
    <w:rsid w:val="008F0A2E"/>
    <w:rsid w:val="00901108"/>
    <w:rsid w:val="009018C2"/>
    <w:rsid w:val="00911DE8"/>
    <w:rsid w:val="0092116A"/>
    <w:rsid w:val="00935D74"/>
    <w:rsid w:val="00941579"/>
    <w:rsid w:val="00942BE0"/>
    <w:rsid w:val="009445D2"/>
    <w:rsid w:val="00945E47"/>
    <w:rsid w:val="00952A2D"/>
    <w:rsid w:val="009668A2"/>
    <w:rsid w:val="00992BD3"/>
    <w:rsid w:val="00992C8A"/>
    <w:rsid w:val="00996417"/>
    <w:rsid w:val="009A07DB"/>
    <w:rsid w:val="009A1444"/>
    <w:rsid w:val="009A1E61"/>
    <w:rsid w:val="009B4CFD"/>
    <w:rsid w:val="009C1415"/>
    <w:rsid w:val="009C6BB1"/>
    <w:rsid w:val="009C71D0"/>
    <w:rsid w:val="009C7E93"/>
    <w:rsid w:val="009D0240"/>
    <w:rsid w:val="009E142C"/>
    <w:rsid w:val="009F38F8"/>
    <w:rsid w:val="009F5D92"/>
    <w:rsid w:val="00A00758"/>
    <w:rsid w:val="00A03CFD"/>
    <w:rsid w:val="00A054D9"/>
    <w:rsid w:val="00A0564D"/>
    <w:rsid w:val="00A070BD"/>
    <w:rsid w:val="00A1319D"/>
    <w:rsid w:val="00A14FCC"/>
    <w:rsid w:val="00A1591A"/>
    <w:rsid w:val="00A20053"/>
    <w:rsid w:val="00A2518E"/>
    <w:rsid w:val="00A44889"/>
    <w:rsid w:val="00A50575"/>
    <w:rsid w:val="00A53365"/>
    <w:rsid w:val="00A564ED"/>
    <w:rsid w:val="00A61C34"/>
    <w:rsid w:val="00A66A34"/>
    <w:rsid w:val="00A918DD"/>
    <w:rsid w:val="00A9217B"/>
    <w:rsid w:val="00A95B80"/>
    <w:rsid w:val="00AA0010"/>
    <w:rsid w:val="00AA1649"/>
    <w:rsid w:val="00AA3AE4"/>
    <w:rsid w:val="00AB065C"/>
    <w:rsid w:val="00AC013D"/>
    <w:rsid w:val="00AD6FC0"/>
    <w:rsid w:val="00AD7D22"/>
    <w:rsid w:val="00AD7FC2"/>
    <w:rsid w:val="00AE1748"/>
    <w:rsid w:val="00AE425E"/>
    <w:rsid w:val="00AE6601"/>
    <w:rsid w:val="00AF0524"/>
    <w:rsid w:val="00AF0B1A"/>
    <w:rsid w:val="00AF155A"/>
    <w:rsid w:val="00AF377C"/>
    <w:rsid w:val="00B056DA"/>
    <w:rsid w:val="00B10984"/>
    <w:rsid w:val="00B14EEB"/>
    <w:rsid w:val="00B21E92"/>
    <w:rsid w:val="00B22DB1"/>
    <w:rsid w:val="00B30002"/>
    <w:rsid w:val="00B45308"/>
    <w:rsid w:val="00B45EE6"/>
    <w:rsid w:val="00B50703"/>
    <w:rsid w:val="00B51D43"/>
    <w:rsid w:val="00B5513D"/>
    <w:rsid w:val="00B55B3A"/>
    <w:rsid w:val="00B61AEA"/>
    <w:rsid w:val="00B75CA4"/>
    <w:rsid w:val="00B75FFD"/>
    <w:rsid w:val="00B76DC5"/>
    <w:rsid w:val="00B807B7"/>
    <w:rsid w:val="00B80C55"/>
    <w:rsid w:val="00B846E8"/>
    <w:rsid w:val="00B85060"/>
    <w:rsid w:val="00B94AE1"/>
    <w:rsid w:val="00B960EB"/>
    <w:rsid w:val="00B97934"/>
    <w:rsid w:val="00BA08E2"/>
    <w:rsid w:val="00BA2FFC"/>
    <w:rsid w:val="00BA37D5"/>
    <w:rsid w:val="00BA40D4"/>
    <w:rsid w:val="00BA7D49"/>
    <w:rsid w:val="00BB0D1F"/>
    <w:rsid w:val="00BC12B1"/>
    <w:rsid w:val="00BD144A"/>
    <w:rsid w:val="00BD175C"/>
    <w:rsid w:val="00BE05AA"/>
    <w:rsid w:val="00BE54F4"/>
    <w:rsid w:val="00BF4DE6"/>
    <w:rsid w:val="00BF74A4"/>
    <w:rsid w:val="00C06555"/>
    <w:rsid w:val="00C068F8"/>
    <w:rsid w:val="00C10CCA"/>
    <w:rsid w:val="00C1429D"/>
    <w:rsid w:val="00C1480E"/>
    <w:rsid w:val="00C220EB"/>
    <w:rsid w:val="00C23916"/>
    <w:rsid w:val="00C24665"/>
    <w:rsid w:val="00C250A7"/>
    <w:rsid w:val="00C27429"/>
    <w:rsid w:val="00C32A0A"/>
    <w:rsid w:val="00C50325"/>
    <w:rsid w:val="00C510E9"/>
    <w:rsid w:val="00C634AE"/>
    <w:rsid w:val="00C6657C"/>
    <w:rsid w:val="00C7322A"/>
    <w:rsid w:val="00C73B48"/>
    <w:rsid w:val="00C74EC3"/>
    <w:rsid w:val="00C871ED"/>
    <w:rsid w:val="00C87610"/>
    <w:rsid w:val="00C949C6"/>
    <w:rsid w:val="00C97A7F"/>
    <w:rsid w:val="00CA278D"/>
    <w:rsid w:val="00CA3578"/>
    <w:rsid w:val="00CB36C9"/>
    <w:rsid w:val="00CB59E6"/>
    <w:rsid w:val="00CC1352"/>
    <w:rsid w:val="00CC1425"/>
    <w:rsid w:val="00CC3531"/>
    <w:rsid w:val="00CC6474"/>
    <w:rsid w:val="00CC6EFD"/>
    <w:rsid w:val="00CD7698"/>
    <w:rsid w:val="00CE7213"/>
    <w:rsid w:val="00CF22E0"/>
    <w:rsid w:val="00CF34CD"/>
    <w:rsid w:val="00CF4CB1"/>
    <w:rsid w:val="00CF5F2D"/>
    <w:rsid w:val="00CF7CC0"/>
    <w:rsid w:val="00D079FB"/>
    <w:rsid w:val="00D108C0"/>
    <w:rsid w:val="00D119B4"/>
    <w:rsid w:val="00D1378C"/>
    <w:rsid w:val="00D153DC"/>
    <w:rsid w:val="00D2061F"/>
    <w:rsid w:val="00D21766"/>
    <w:rsid w:val="00D25F45"/>
    <w:rsid w:val="00D279C7"/>
    <w:rsid w:val="00D30104"/>
    <w:rsid w:val="00D43401"/>
    <w:rsid w:val="00D4647C"/>
    <w:rsid w:val="00D50C9E"/>
    <w:rsid w:val="00D55D1A"/>
    <w:rsid w:val="00D60438"/>
    <w:rsid w:val="00D630AA"/>
    <w:rsid w:val="00D63963"/>
    <w:rsid w:val="00D63DC1"/>
    <w:rsid w:val="00D72204"/>
    <w:rsid w:val="00D76397"/>
    <w:rsid w:val="00D93321"/>
    <w:rsid w:val="00DA4140"/>
    <w:rsid w:val="00DA7303"/>
    <w:rsid w:val="00DB585B"/>
    <w:rsid w:val="00DB6735"/>
    <w:rsid w:val="00DB70F0"/>
    <w:rsid w:val="00DB7AC5"/>
    <w:rsid w:val="00DC7A3D"/>
    <w:rsid w:val="00DD0395"/>
    <w:rsid w:val="00DD4BB5"/>
    <w:rsid w:val="00DE4FD1"/>
    <w:rsid w:val="00DE6F31"/>
    <w:rsid w:val="00DF2930"/>
    <w:rsid w:val="00E00E21"/>
    <w:rsid w:val="00E01FFF"/>
    <w:rsid w:val="00E07655"/>
    <w:rsid w:val="00E13435"/>
    <w:rsid w:val="00E20E00"/>
    <w:rsid w:val="00E23988"/>
    <w:rsid w:val="00E26C14"/>
    <w:rsid w:val="00E33106"/>
    <w:rsid w:val="00E4493E"/>
    <w:rsid w:val="00E45390"/>
    <w:rsid w:val="00E47740"/>
    <w:rsid w:val="00E507F2"/>
    <w:rsid w:val="00E528BA"/>
    <w:rsid w:val="00E55A2F"/>
    <w:rsid w:val="00E60C39"/>
    <w:rsid w:val="00E63D20"/>
    <w:rsid w:val="00E645AD"/>
    <w:rsid w:val="00E72B50"/>
    <w:rsid w:val="00E76EBD"/>
    <w:rsid w:val="00E90D12"/>
    <w:rsid w:val="00E912C2"/>
    <w:rsid w:val="00E9218C"/>
    <w:rsid w:val="00E94F89"/>
    <w:rsid w:val="00E95EC4"/>
    <w:rsid w:val="00E97993"/>
    <w:rsid w:val="00EA3909"/>
    <w:rsid w:val="00EB4D31"/>
    <w:rsid w:val="00EC1D91"/>
    <w:rsid w:val="00EC3AB6"/>
    <w:rsid w:val="00EC3AFA"/>
    <w:rsid w:val="00EC3F1C"/>
    <w:rsid w:val="00EC4014"/>
    <w:rsid w:val="00EC5F9A"/>
    <w:rsid w:val="00ED4668"/>
    <w:rsid w:val="00ED71CA"/>
    <w:rsid w:val="00EE0445"/>
    <w:rsid w:val="00EE17E2"/>
    <w:rsid w:val="00EE688B"/>
    <w:rsid w:val="00EF7AF2"/>
    <w:rsid w:val="00F012F1"/>
    <w:rsid w:val="00F063F3"/>
    <w:rsid w:val="00F065CF"/>
    <w:rsid w:val="00F12862"/>
    <w:rsid w:val="00F138BA"/>
    <w:rsid w:val="00F1465A"/>
    <w:rsid w:val="00F16B49"/>
    <w:rsid w:val="00F23B1F"/>
    <w:rsid w:val="00F24398"/>
    <w:rsid w:val="00F2650A"/>
    <w:rsid w:val="00F3499C"/>
    <w:rsid w:val="00F42BA9"/>
    <w:rsid w:val="00F46079"/>
    <w:rsid w:val="00F47FF3"/>
    <w:rsid w:val="00F52161"/>
    <w:rsid w:val="00F56CAE"/>
    <w:rsid w:val="00F60C64"/>
    <w:rsid w:val="00F64FC6"/>
    <w:rsid w:val="00F65833"/>
    <w:rsid w:val="00F74416"/>
    <w:rsid w:val="00F83AAD"/>
    <w:rsid w:val="00F85EF2"/>
    <w:rsid w:val="00F918BB"/>
    <w:rsid w:val="00F963ED"/>
    <w:rsid w:val="00F96A90"/>
    <w:rsid w:val="00FA7AAA"/>
    <w:rsid w:val="00FB2E84"/>
    <w:rsid w:val="00FB446C"/>
    <w:rsid w:val="00FB450E"/>
    <w:rsid w:val="00FB6979"/>
    <w:rsid w:val="00FB7BA3"/>
    <w:rsid w:val="00FB7BBA"/>
    <w:rsid w:val="00FC034D"/>
    <w:rsid w:val="00FC3FA5"/>
    <w:rsid w:val="00FD3442"/>
    <w:rsid w:val="00FD5DF4"/>
    <w:rsid w:val="00FD6FBD"/>
    <w:rsid w:val="00FD7480"/>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B846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84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43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B846E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84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43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06001768">
      <w:bodyDiv w:val="1"/>
      <w:marLeft w:val="0"/>
      <w:marRight w:val="0"/>
      <w:marTop w:val="0"/>
      <w:marBottom w:val="0"/>
      <w:divBdr>
        <w:top w:val="none" w:sz="0" w:space="0" w:color="auto"/>
        <w:left w:val="none" w:sz="0" w:space="0" w:color="auto"/>
        <w:bottom w:val="none" w:sz="0" w:space="0" w:color="auto"/>
        <w:right w:val="none" w:sz="0" w:space="0" w:color="auto"/>
      </w:divBdr>
    </w:div>
    <w:div w:id="110981146">
      <w:bodyDiv w:val="1"/>
      <w:marLeft w:val="0"/>
      <w:marRight w:val="0"/>
      <w:marTop w:val="0"/>
      <w:marBottom w:val="0"/>
      <w:divBdr>
        <w:top w:val="none" w:sz="0" w:space="0" w:color="auto"/>
        <w:left w:val="none" w:sz="0" w:space="0" w:color="auto"/>
        <w:bottom w:val="none" w:sz="0" w:space="0" w:color="auto"/>
        <w:right w:val="none" w:sz="0" w:space="0" w:color="auto"/>
      </w:divBdr>
    </w:div>
    <w:div w:id="113450144">
      <w:bodyDiv w:val="1"/>
      <w:marLeft w:val="0"/>
      <w:marRight w:val="0"/>
      <w:marTop w:val="0"/>
      <w:marBottom w:val="0"/>
      <w:divBdr>
        <w:top w:val="none" w:sz="0" w:space="0" w:color="auto"/>
        <w:left w:val="none" w:sz="0" w:space="0" w:color="auto"/>
        <w:bottom w:val="none" w:sz="0" w:space="0" w:color="auto"/>
        <w:right w:val="none" w:sz="0" w:space="0" w:color="auto"/>
      </w:divBdr>
    </w:div>
    <w:div w:id="176307669">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95837662">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52075913">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86558446">
      <w:bodyDiv w:val="1"/>
      <w:marLeft w:val="0"/>
      <w:marRight w:val="0"/>
      <w:marTop w:val="0"/>
      <w:marBottom w:val="0"/>
      <w:divBdr>
        <w:top w:val="none" w:sz="0" w:space="0" w:color="auto"/>
        <w:left w:val="none" w:sz="0" w:space="0" w:color="auto"/>
        <w:bottom w:val="none" w:sz="0" w:space="0" w:color="auto"/>
        <w:right w:val="none" w:sz="0" w:space="0" w:color="auto"/>
      </w:divBdr>
    </w:div>
    <w:div w:id="613560231">
      <w:bodyDiv w:val="1"/>
      <w:marLeft w:val="0"/>
      <w:marRight w:val="0"/>
      <w:marTop w:val="0"/>
      <w:marBottom w:val="0"/>
      <w:divBdr>
        <w:top w:val="none" w:sz="0" w:space="0" w:color="auto"/>
        <w:left w:val="none" w:sz="0" w:space="0" w:color="auto"/>
        <w:bottom w:val="none" w:sz="0" w:space="0" w:color="auto"/>
        <w:right w:val="none" w:sz="0" w:space="0" w:color="auto"/>
      </w:divBdr>
    </w:div>
    <w:div w:id="670107975">
      <w:bodyDiv w:val="1"/>
      <w:marLeft w:val="0"/>
      <w:marRight w:val="0"/>
      <w:marTop w:val="0"/>
      <w:marBottom w:val="0"/>
      <w:divBdr>
        <w:top w:val="none" w:sz="0" w:space="0" w:color="auto"/>
        <w:left w:val="none" w:sz="0" w:space="0" w:color="auto"/>
        <w:bottom w:val="none" w:sz="0" w:space="0" w:color="auto"/>
        <w:right w:val="none" w:sz="0" w:space="0" w:color="auto"/>
      </w:divBdr>
    </w:div>
    <w:div w:id="69030539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898052080">
      <w:bodyDiv w:val="1"/>
      <w:marLeft w:val="0"/>
      <w:marRight w:val="0"/>
      <w:marTop w:val="0"/>
      <w:marBottom w:val="0"/>
      <w:divBdr>
        <w:top w:val="none" w:sz="0" w:space="0" w:color="auto"/>
        <w:left w:val="none" w:sz="0" w:space="0" w:color="auto"/>
        <w:bottom w:val="none" w:sz="0" w:space="0" w:color="auto"/>
        <w:right w:val="none" w:sz="0" w:space="0" w:color="auto"/>
      </w:divBdr>
    </w:div>
    <w:div w:id="918028576">
      <w:bodyDiv w:val="1"/>
      <w:marLeft w:val="0"/>
      <w:marRight w:val="0"/>
      <w:marTop w:val="0"/>
      <w:marBottom w:val="0"/>
      <w:divBdr>
        <w:top w:val="none" w:sz="0" w:space="0" w:color="auto"/>
        <w:left w:val="none" w:sz="0" w:space="0" w:color="auto"/>
        <w:bottom w:val="none" w:sz="0" w:space="0" w:color="auto"/>
        <w:right w:val="none" w:sz="0" w:space="0" w:color="auto"/>
      </w:divBdr>
    </w:div>
    <w:div w:id="924537300">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83658911">
      <w:bodyDiv w:val="1"/>
      <w:marLeft w:val="0"/>
      <w:marRight w:val="0"/>
      <w:marTop w:val="0"/>
      <w:marBottom w:val="0"/>
      <w:divBdr>
        <w:top w:val="none" w:sz="0" w:space="0" w:color="auto"/>
        <w:left w:val="none" w:sz="0" w:space="0" w:color="auto"/>
        <w:bottom w:val="none" w:sz="0" w:space="0" w:color="auto"/>
        <w:right w:val="none" w:sz="0" w:space="0" w:color="auto"/>
      </w:divBdr>
    </w:div>
    <w:div w:id="1018770819">
      <w:bodyDiv w:val="1"/>
      <w:marLeft w:val="0"/>
      <w:marRight w:val="0"/>
      <w:marTop w:val="0"/>
      <w:marBottom w:val="0"/>
      <w:divBdr>
        <w:top w:val="none" w:sz="0" w:space="0" w:color="auto"/>
        <w:left w:val="none" w:sz="0" w:space="0" w:color="auto"/>
        <w:bottom w:val="none" w:sz="0" w:space="0" w:color="auto"/>
        <w:right w:val="none" w:sz="0" w:space="0" w:color="auto"/>
      </w:divBdr>
    </w:div>
    <w:div w:id="1035816759">
      <w:bodyDiv w:val="1"/>
      <w:marLeft w:val="0"/>
      <w:marRight w:val="0"/>
      <w:marTop w:val="0"/>
      <w:marBottom w:val="0"/>
      <w:divBdr>
        <w:top w:val="none" w:sz="0" w:space="0" w:color="auto"/>
        <w:left w:val="none" w:sz="0" w:space="0" w:color="auto"/>
        <w:bottom w:val="none" w:sz="0" w:space="0" w:color="auto"/>
        <w:right w:val="none" w:sz="0" w:space="0" w:color="auto"/>
      </w:divBdr>
    </w:div>
    <w:div w:id="1046639809">
      <w:bodyDiv w:val="1"/>
      <w:marLeft w:val="0"/>
      <w:marRight w:val="0"/>
      <w:marTop w:val="0"/>
      <w:marBottom w:val="0"/>
      <w:divBdr>
        <w:top w:val="none" w:sz="0" w:space="0" w:color="auto"/>
        <w:left w:val="none" w:sz="0" w:space="0" w:color="auto"/>
        <w:bottom w:val="none" w:sz="0" w:space="0" w:color="auto"/>
        <w:right w:val="none" w:sz="0" w:space="0" w:color="auto"/>
      </w:divBdr>
    </w:div>
    <w:div w:id="1047877204">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68443166">
      <w:bodyDiv w:val="1"/>
      <w:marLeft w:val="0"/>
      <w:marRight w:val="0"/>
      <w:marTop w:val="0"/>
      <w:marBottom w:val="0"/>
      <w:divBdr>
        <w:top w:val="none" w:sz="0" w:space="0" w:color="auto"/>
        <w:left w:val="none" w:sz="0" w:space="0" w:color="auto"/>
        <w:bottom w:val="none" w:sz="0" w:space="0" w:color="auto"/>
        <w:right w:val="none" w:sz="0" w:space="0" w:color="auto"/>
      </w:divBdr>
    </w:div>
    <w:div w:id="1196580699">
      <w:bodyDiv w:val="1"/>
      <w:marLeft w:val="0"/>
      <w:marRight w:val="0"/>
      <w:marTop w:val="0"/>
      <w:marBottom w:val="0"/>
      <w:divBdr>
        <w:top w:val="none" w:sz="0" w:space="0" w:color="auto"/>
        <w:left w:val="none" w:sz="0" w:space="0" w:color="auto"/>
        <w:bottom w:val="none" w:sz="0" w:space="0" w:color="auto"/>
        <w:right w:val="none" w:sz="0" w:space="0" w:color="auto"/>
      </w:divBdr>
    </w:div>
    <w:div w:id="1198590242">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8414847">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90780049">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1676852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48033704">
      <w:bodyDiv w:val="1"/>
      <w:marLeft w:val="0"/>
      <w:marRight w:val="0"/>
      <w:marTop w:val="0"/>
      <w:marBottom w:val="0"/>
      <w:divBdr>
        <w:top w:val="none" w:sz="0" w:space="0" w:color="auto"/>
        <w:left w:val="none" w:sz="0" w:space="0" w:color="auto"/>
        <w:bottom w:val="none" w:sz="0" w:space="0" w:color="auto"/>
        <w:right w:val="none" w:sz="0" w:space="0" w:color="auto"/>
      </w:divBdr>
    </w:div>
    <w:div w:id="1620332996">
      <w:bodyDiv w:val="1"/>
      <w:marLeft w:val="0"/>
      <w:marRight w:val="0"/>
      <w:marTop w:val="0"/>
      <w:marBottom w:val="0"/>
      <w:divBdr>
        <w:top w:val="none" w:sz="0" w:space="0" w:color="auto"/>
        <w:left w:val="none" w:sz="0" w:space="0" w:color="auto"/>
        <w:bottom w:val="none" w:sz="0" w:space="0" w:color="auto"/>
        <w:right w:val="none" w:sz="0" w:space="0" w:color="auto"/>
      </w:divBdr>
    </w:div>
    <w:div w:id="1649477093">
      <w:bodyDiv w:val="1"/>
      <w:marLeft w:val="0"/>
      <w:marRight w:val="0"/>
      <w:marTop w:val="0"/>
      <w:marBottom w:val="0"/>
      <w:divBdr>
        <w:top w:val="none" w:sz="0" w:space="0" w:color="auto"/>
        <w:left w:val="none" w:sz="0" w:space="0" w:color="auto"/>
        <w:bottom w:val="none" w:sz="0" w:space="0" w:color="auto"/>
        <w:right w:val="none" w:sz="0" w:space="0" w:color="auto"/>
      </w:divBdr>
    </w:div>
    <w:div w:id="1682778082">
      <w:bodyDiv w:val="1"/>
      <w:marLeft w:val="0"/>
      <w:marRight w:val="0"/>
      <w:marTop w:val="0"/>
      <w:marBottom w:val="0"/>
      <w:divBdr>
        <w:top w:val="none" w:sz="0" w:space="0" w:color="auto"/>
        <w:left w:val="none" w:sz="0" w:space="0" w:color="auto"/>
        <w:bottom w:val="none" w:sz="0" w:space="0" w:color="auto"/>
        <w:right w:val="none" w:sz="0" w:space="0" w:color="auto"/>
      </w:divBdr>
    </w:div>
    <w:div w:id="1739939975">
      <w:bodyDiv w:val="1"/>
      <w:marLeft w:val="0"/>
      <w:marRight w:val="0"/>
      <w:marTop w:val="0"/>
      <w:marBottom w:val="0"/>
      <w:divBdr>
        <w:top w:val="none" w:sz="0" w:space="0" w:color="auto"/>
        <w:left w:val="none" w:sz="0" w:space="0" w:color="auto"/>
        <w:bottom w:val="none" w:sz="0" w:space="0" w:color="auto"/>
        <w:right w:val="none" w:sz="0" w:space="0" w:color="auto"/>
      </w:divBdr>
    </w:div>
    <w:div w:id="1771463412">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31172559">
      <w:bodyDiv w:val="1"/>
      <w:marLeft w:val="0"/>
      <w:marRight w:val="0"/>
      <w:marTop w:val="0"/>
      <w:marBottom w:val="0"/>
      <w:divBdr>
        <w:top w:val="none" w:sz="0" w:space="0" w:color="auto"/>
        <w:left w:val="none" w:sz="0" w:space="0" w:color="auto"/>
        <w:bottom w:val="none" w:sz="0" w:space="0" w:color="auto"/>
        <w:right w:val="none" w:sz="0" w:space="0" w:color="auto"/>
      </w:divBdr>
    </w:div>
    <w:div w:id="1887839328">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401816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5612454">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1150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Gou12</b:Tag>
    <b:SourceType>InternetSite</b:SourceType>
    <b:Guid>{C140CA92-1738-4ACD-8A10-AF8B333E7EBD}</b:Guid>
    <b:Title>Operational Contract Support: Not just for Contingencies</b:Title>
    <b:Year>2012</b:Year>
    <b:Author>
      <b:Author>
        <b:NameList>
          <b:Person>
            <b:Last>Gould</b:Last>
            <b:First>Lieutenant</b:First>
            <b:Middle>Colonel Robert</b:Middle>
          </b:Person>
        </b:NameList>
      </b:Author>
    </b:Author>
    <b:InternetSiteTitle>Army Sustainment</b:InternetSiteTitle>
    <b:Month>August</b:Month>
    <b:URL>http://www.alu.army.mil/alog/issues/julaug12/Operational_Contract_Support.html</b:URL>
    <b:JournalName>Army Sustainment</b:JournalName>
    <b:RefOrder>3</b:RefOrder>
  </b:Source>
  <b:Source>
    <b:Tag>Def18</b:Tag>
    <b:SourceType>InternetSite</b:SourceType>
    <b:Guid>{591DFD27-5B90-4CBF-BD26-FB12868C2D38}</b:Guid>
    <b:Author>
      <b:Author>
        <b:Corporate>Defense Acquisition University</b:Corporate>
      </b:Author>
    </b:Author>
    <b:Title>Quality Assurance Surveillance Plan (QASP)</b:Title>
    <b:InternetSiteTitle>Defense Acquisition University</b:InternetSiteTitle>
    <b:Year>2018</b:Year>
    <b:Month>June</b:Month>
    <b:Day>20</b:Day>
    <b:URL>https://www.dau.mil/acquipedia/Pages/ArticleDetails.aspx?aid=07612fab-5891-4078-abfc-a6a7ca2b8c0a</b:URL>
    <b:RefOrder>5</b:RefOrder>
  </b:Source>
  <b:Source>
    <b:Tag>Dep10</b:Tag>
    <b:SourceType>Report</b:SourceType>
    <b:Guid>{946AF214-BB47-4295-A9A8-6629C18A8DD7}</b:Guid>
    <b:Title>Operational Contract Support Concept of Operations </b:Title>
    <b:Year>2010</b:Year>
    <b:Author>
      <b:Author>
        <b:Corporate>Department of Defense</b:Corporate>
      </b:Author>
    </b:Author>
    <b:Publisher>Department of Defense</b:Publisher>
    <b:City>Washington</b:City>
    <b:RefOrder>1</b:RefOrder>
  </b:Source>
  <b:Source>
    <b:Tag>Pat14</b:Tag>
    <b:SourceType>ArticleInAPeriodical</b:SourceType>
    <b:Guid>{FDAF4BBE-DF94-4134-93F6-C83847DC5D3D}</b:Guid>
    <b:Title>A COR's Guide to the Quality Assurance Surveillance</b:Title>
    <b:Year>2014</b:Year>
    <b:Month>July</b:Month>
    <b:Day>30</b:Day>
    <b:PeriodicalTitle>Virutal Aquisition Office Quick Reference guide</b:PeriodicalTitle>
    <b:Pages>1-3</b:Pages>
    <b:Author>
      <b:Author>
        <b:NameList>
          <b:Person>
            <b:Last>Shields</b:Last>
            <b:First>Pat</b:First>
          </b:Person>
        </b:NameList>
      </b:Author>
    </b:Author>
    <b:RefOrder>4</b:RefOrder>
  </b:Source>
  <b:Source>
    <b:Tag>Joi14</b:Tag>
    <b:SourceType>Report</b:SourceType>
    <b:Guid>{B8FEF6F0-E347-4442-A38F-381318C4CE39}</b:Guid>
    <b:Title>Operational Contract Support</b:Title>
    <b:Year>2014</b:Year>
    <b:Publisher>JointChiefs of Staff</b:Publisher>
    <b:Author>
      <b:Author>
        <b:Corporate>Joint Chiefs of Staff</b:Corporate>
      </b:Author>
    </b:Author>
    <b:RefOrder>2</b:RefOrder>
  </b:Source>
  <b:Source>
    <b:Tag>WIP17</b:Tag>
    <b:SourceType>Report</b:SourceType>
    <b:Guid>{A581C201-5545-4405-9C01-F528DCB3764B}</b:Guid>
    <b:Title>QUALITY ASSURANCE SURVEILLANCE PLAN (QASP) </b:Title>
    <b:Year>2017</b:Year>
    <b:Author>
      <b:Author>
        <b:Corporate>WIPP Transportation Services</b:Corporate>
      </b:Author>
    </b:Author>
    <b:Publisher>WIPP Transportation Services</b:Publisher>
    <b:RefOrder>6</b:RefOrder>
  </b:Source>
</b:Sources>
</file>

<file path=customXml/itemProps1.xml><?xml version="1.0" encoding="utf-8"?>
<ds:datastoreItem xmlns:ds="http://schemas.openxmlformats.org/officeDocument/2006/customXml" ds:itemID="{D49DA021-E3DF-44CA-A2C2-8B0569AAF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1078</Words>
  <Characters>6148</Characters>
  <Application>Microsoft Office Word</Application>
  <DocSecurity>0</DocSecurity>
  <Lines>51</Lines>
  <Paragraphs>14</Paragraphs>
  <ScaleCrop>false</ScaleCrop>
  <Company/>
  <LinksUpToDate>false</LinksUpToDate>
  <CharactersWithSpaces>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2018-09-28T20:49:00Z</dcterms:created>
  <dcterms:modified xsi:type="dcterms:W3CDTF">2018-09-28T22:38:00Z</dcterms:modified>
</cp:coreProperties>
</file>